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74" w:rsidRDefault="004A1574" w:rsidP="004A1574">
      <w:pPr>
        <w:pStyle w:val="a3"/>
        <w:shd w:val="clear" w:color="auto" w:fill="FFFFFF"/>
        <w:spacing w:before="0" w:beforeAutospacing="0" w:after="0" w:afterAutospacing="0" w:line="480" w:lineRule="exact"/>
        <w:jc w:val="center"/>
        <w:rPr>
          <w:rStyle w:val="a4"/>
          <w:rFonts w:ascii="仿宋" w:eastAsia="仿宋" w:hAnsi="仿宋"/>
          <w:color w:val="000000"/>
          <w:sz w:val="32"/>
          <w:szCs w:val="32"/>
        </w:rPr>
      </w:pPr>
      <w:r w:rsidRPr="004A1574">
        <w:rPr>
          <w:rStyle w:val="a4"/>
          <w:rFonts w:ascii="仿宋" w:eastAsia="仿宋" w:hAnsi="仿宋" w:hint="eastAsia"/>
          <w:color w:val="000000"/>
          <w:sz w:val="32"/>
          <w:szCs w:val="32"/>
        </w:rPr>
        <w:t>2018年度国家法治与法学理论研究项目课题指南目录</w:t>
      </w:r>
    </w:p>
    <w:p w:rsidR="004A1574" w:rsidRPr="004A1574" w:rsidRDefault="004A1574" w:rsidP="004A1574">
      <w:pPr>
        <w:pStyle w:val="a3"/>
        <w:shd w:val="clear" w:color="auto" w:fill="FFFFFF"/>
        <w:spacing w:before="0" w:beforeAutospacing="0" w:after="0" w:afterAutospacing="0" w:line="480" w:lineRule="exact"/>
        <w:jc w:val="center"/>
        <w:rPr>
          <w:rFonts w:ascii="仿宋" w:eastAsia="仿宋" w:hAnsi="仿宋"/>
          <w:color w:val="000000"/>
          <w:sz w:val="32"/>
          <w:szCs w:val="32"/>
        </w:rPr>
      </w:pP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Style w:val="a4"/>
          <w:rFonts w:ascii="仿宋" w:eastAsia="仿宋" w:hAnsi="仿宋" w:hint="eastAsia"/>
          <w:color w:val="000000"/>
          <w:sz w:val="28"/>
          <w:szCs w:val="28"/>
        </w:rPr>
        <w:t xml:space="preserve">　　一、重点课题</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1. 习近平总书记关于全面推进依法治国的新理念新思想新战略研究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2. 新时代全面推进依法治国研究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3. 长江保护立法研究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4. 海南自由贸易试验区和中国特色自由贸易港建设法治保障和法律服务研究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5. 雄安新区建设法治保障和法律服务研究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6. 大数据与网络安全立法研究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7. 社会主义法治文化建设研究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8. 国家机构改革与国家机构组织法研究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9. 公共法律服务体系制度建设研究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10. 改善营商环境与完善商事法制研究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11. 企业海外投资风险防范法律对策研究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w:t>
      </w:r>
      <w:r w:rsidRPr="000A67AB">
        <w:rPr>
          <w:rStyle w:val="a4"/>
          <w:rFonts w:ascii="仿宋" w:eastAsia="仿宋" w:hAnsi="仿宋" w:hint="eastAsia"/>
          <w:color w:val="000000"/>
          <w:sz w:val="28"/>
          <w:szCs w:val="28"/>
        </w:rPr>
        <w:t xml:space="preserve">　二、 一般课题</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12.法律统一资格考试命题制度比较研究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13.法律职业伦理比较研究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14.法治评估方法研究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15.法治文化建设与去除宗教极端化思想研究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16.人工智能的法律规制研究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17.司法解释的规范化研究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18.汉朝基层司法运作研究——基于新出土法律文献</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19.中国古代法律解释研究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20.中国古代监察制度流变研究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21.地方立法备案审查机制研究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22.国家的社会权利保障义务研究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23.改革开放与宪法修改研究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lastRenderedPageBreak/>
        <w:t xml:space="preserve">　　24.完善合宪性审查机制研究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25.乡村振兴战略背景下民族地区乡村治理体制机制创新研究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26.依法推进国家监察体制改革研究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27.行政协议诉讼的法律适用研究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28.戒毒人员权利保障制度研究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29.事权与支出责任动态调整机制法治化研究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30.信访法治化研究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31.优化营商环境的行政监管制度改革研究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32.行政确认无效研究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33.征信制度的法律规制研究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34.非刑罚性犯罪制裁研究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35.极端主义的群体心理学研究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36.监狱法修订研究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37.侵犯公民个人信息罪的司法认定</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38.数据权的刑法保护研究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39.少年收容教养制度改革研究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40.刑法中的“明知”及其司法认定</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41.罪犯分类教育与评估研究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42.商事仲裁的司法监督</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43.家事审判情理法模式的现代建构</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44.辩护律师全覆盖的难点与对策研究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45.民商事纠纷网上审理标准规范体系研究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46.人工智能时代在线公证研究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47.统一司法鉴定标准化研究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48.未成年服刑人员重返社会法律保障与机制建设研究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49.刑事辩护职业伦理研究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50.员额制背景下的法官胜任力模型构建</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51.创业公司股权结构法律问题研究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52.非典型担保法律问题研究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lastRenderedPageBreak/>
        <w:t xml:space="preserve">　　53.民法典分则与农地用益物权体系构建</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54.人工智能产品法律责任研究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55.商业养老保险法律问题研究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56.数据确权与交易法律问题研究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57.中国当代民事习惯调查与司法裁判适用研究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58.公司治理的改革与公司法的修改完善</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59.《税收征收管理法》修改研究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60.保险、银行业监管机构合并后监管功能整合研究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61.政府与社会资本合作(PPP)纠纷解决机制研究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62.互联网金融的法律规制研究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63.数字货币的法律监管</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64.互联网平台竞争的法律规制研究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65.产业政策法治化司法保障研究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66.中国破产法修订研究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67.涉外法律服务平台机制研究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68.朝鲜半岛和平机制构建的国际法问题研究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69.构建人类命运共同体的国际法促进与保障研究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70.国际投资仲裁案例的大数据分析</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71.论海牙“判决项目”的最新发展——中国视角、立场与方案</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72.外国投资移民措施对我国反腐败追逃追赃的影响研究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73.外逃人员缺席审判法律制度研究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74.党政同责环保督察立法研究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75.国家公园立法研究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76.环境法典编纂研究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77.人类遗传资源法律保障研究</w:t>
      </w:r>
    </w:p>
    <w:p w:rsidR="004A1574" w:rsidRPr="000A67AB" w:rsidRDefault="004A1574" w:rsidP="004A1574">
      <w:pPr>
        <w:pStyle w:val="a3"/>
        <w:shd w:val="clear" w:color="auto" w:fill="FFFFFF"/>
        <w:spacing w:before="0" w:beforeAutospacing="0" w:after="0" w:afterAutospacing="0" w:line="480" w:lineRule="exact"/>
        <w:rPr>
          <w:rFonts w:ascii="仿宋" w:eastAsia="仿宋" w:hAnsi="仿宋"/>
          <w:color w:val="000000"/>
          <w:sz w:val="28"/>
          <w:szCs w:val="28"/>
        </w:rPr>
      </w:pPr>
      <w:r w:rsidRPr="000A67AB">
        <w:rPr>
          <w:rFonts w:ascii="仿宋" w:eastAsia="仿宋" w:hAnsi="仿宋" w:hint="eastAsia"/>
          <w:color w:val="000000"/>
          <w:sz w:val="28"/>
          <w:szCs w:val="28"/>
        </w:rPr>
        <w:t xml:space="preserve">　　78.排污许可制度立法研究</w:t>
      </w:r>
    </w:p>
    <w:p w:rsidR="004A1574" w:rsidRPr="000A67AB" w:rsidRDefault="004A1574" w:rsidP="004A1574">
      <w:pPr>
        <w:spacing w:line="480" w:lineRule="exact"/>
        <w:rPr>
          <w:rFonts w:ascii="仿宋" w:eastAsia="仿宋" w:hAnsi="仿宋"/>
          <w:sz w:val="28"/>
          <w:szCs w:val="28"/>
        </w:rPr>
      </w:pPr>
    </w:p>
    <w:p w:rsidR="00FC24F5" w:rsidRDefault="00737768"/>
    <w:sectPr w:rsidR="00FC24F5" w:rsidSect="00577C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768" w:rsidRDefault="00737768" w:rsidP="00995593">
      <w:r>
        <w:separator/>
      </w:r>
    </w:p>
  </w:endnote>
  <w:endnote w:type="continuationSeparator" w:id="0">
    <w:p w:rsidR="00737768" w:rsidRDefault="00737768" w:rsidP="00995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768" w:rsidRDefault="00737768" w:rsidP="00995593">
      <w:r>
        <w:separator/>
      </w:r>
    </w:p>
  </w:footnote>
  <w:footnote w:type="continuationSeparator" w:id="0">
    <w:p w:rsidR="00737768" w:rsidRDefault="00737768" w:rsidP="009955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1574"/>
    <w:rsid w:val="002F13EF"/>
    <w:rsid w:val="004A1574"/>
    <w:rsid w:val="00577C65"/>
    <w:rsid w:val="00737768"/>
    <w:rsid w:val="007D37D2"/>
    <w:rsid w:val="00995593"/>
    <w:rsid w:val="00C43B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157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1574"/>
    <w:rPr>
      <w:b/>
      <w:bCs/>
    </w:rPr>
  </w:style>
  <w:style w:type="paragraph" w:styleId="a5">
    <w:name w:val="header"/>
    <w:basedOn w:val="a"/>
    <w:link w:val="Char"/>
    <w:uiPriority w:val="99"/>
    <w:semiHidden/>
    <w:unhideWhenUsed/>
    <w:rsid w:val="009955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95593"/>
    <w:rPr>
      <w:sz w:val="18"/>
      <w:szCs w:val="18"/>
    </w:rPr>
  </w:style>
  <w:style w:type="paragraph" w:styleId="a6">
    <w:name w:val="footer"/>
    <w:basedOn w:val="a"/>
    <w:link w:val="Char0"/>
    <w:uiPriority w:val="99"/>
    <w:semiHidden/>
    <w:unhideWhenUsed/>
    <w:rsid w:val="0099559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9559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1368</Characters>
  <Application>Microsoft Office Word</Application>
  <DocSecurity>0</DocSecurity>
  <Lines>11</Lines>
  <Paragraphs>3</Paragraphs>
  <ScaleCrop>false</ScaleCrop>
  <Company>China</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姚佳丽</cp:lastModifiedBy>
  <cp:revision>2</cp:revision>
  <dcterms:created xsi:type="dcterms:W3CDTF">2018-07-03T07:00:00Z</dcterms:created>
  <dcterms:modified xsi:type="dcterms:W3CDTF">2018-07-03T07:00:00Z</dcterms:modified>
</cp:coreProperties>
</file>